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AC0F3" w14:textId="77777777" w:rsidR="00FA733F" w:rsidRPr="00663CAB" w:rsidRDefault="00FA733F" w:rsidP="00FA733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3D090E3B" w14:textId="77777777" w:rsidR="00FA733F" w:rsidRPr="00663CAB" w:rsidRDefault="008F58D4" w:rsidP="00FA733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Arial"/>
          <w:b/>
          <w:caps/>
          <w:sz w:val="26"/>
          <w:szCs w:val="26"/>
          <w:lang w:eastAsia="pt-BR"/>
        </w:rPr>
      </w:pPr>
      <w:r w:rsidRPr="00663CAB">
        <w:rPr>
          <w:rFonts w:eastAsia="Times New Roman" w:cs="Arial"/>
          <w:b/>
          <w:caps/>
          <w:sz w:val="26"/>
          <w:szCs w:val="26"/>
          <w:lang w:eastAsia="pt-BR"/>
        </w:rPr>
        <w:t xml:space="preserve">resposta à impugnação </w:t>
      </w:r>
      <w:r w:rsidR="00736CFD" w:rsidRPr="00663CAB">
        <w:rPr>
          <w:rFonts w:eastAsia="Times New Roman" w:cs="Arial"/>
          <w:b/>
          <w:caps/>
          <w:sz w:val="26"/>
          <w:szCs w:val="26"/>
          <w:lang w:eastAsia="pt-BR"/>
        </w:rPr>
        <w:t>ao</w:t>
      </w:r>
      <w:r w:rsidR="008B5EC0" w:rsidRPr="00663CAB">
        <w:rPr>
          <w:rFonts w:eastAsia="Times New Roman" w:cs="Arial"/>
          <w:b/>
          <w:caps/>
          <w:sz w:val="26"/>
          <w:szCs w:val="26"/>
          <w:lang w:eastAsia="pt-BR"/>
        </w:rPr>
        <w:t xml:space="preserve"> </w:t>
      </w:r>
      <w:r w:rsidR="009C07DE" w:rsidRPr="00663CAB">
        <w:rPr>
          <w:rFonts w:eastAsia="Times New Roman" w:cs="Arial"/>
          <w:b/>
          <w:caps/>
          <w:sz w:val="26"/>
          <w:szCs w:val="26"/>
          <w:lang w:eastAsia="pt-BR"/>
        </w:rPr>
        <w:t>Pregão presencial 29</w:t>
      </w:r>
      <w:r w:rsidR="008B5EC0" w:rsidRPr="00663CAB">
        <w:rPr>
          <w:rFonts w:eastAsia="Times New Roman" w:cs="Arial"/>
          <w:b/>
          <w:caps/>
          <w:sz w:val="26"/>
          <w:szCs w:val="26"/>
          <w:lang w:eastAsia="pt-BR"/>
        </w:rPr>
        <w:t>/2020</w:t>
      </w:r>
    </w:p>
    <w:p w14:paraId="1F73D31D" w14:textId="77777777" w:rsidR="000A5DE1" w:rsidRPr="00663CAB" w:rsidRDefault="000A5DE1" w:rsidP="00FA733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Arial"/>
          <w:b/>
          <w:caps/>
          <w:sz w:val="26"/>
          <w:szCs w:val="26"/>
          <w:lang w:eastAsia="pt-BR"/>
        </w:rPr>
      </w:pPr>
    </w:p>
    <w:p w14:paraId="3976C5AB" w14:textId="77777777" w:rsidR="00FA733F" w:rsidRPr="00663CAB" w:rsidRDefault="00FA733F" w:rsidP="00FA733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1C8A0B90" w14:textId="77777777" w:rsidR="00074398" w:rsidRPr="00663CAB" w:rsidRDefault="00FA733F" w:rsidP="000A5DE1">
      <w:pPr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tab/>
      </w:r>
      <w:r w:rsidR="008F58D4" w:rsidRPr="00663CAB">
        <w:rPr>
          <w:sz w:val="26"/>
          <w:szCs w:val="26"/>
          <w:lang w:eastAsia="pt-BR"/>
        </w:rPr>
        <w:t>Trata-</w:t>
      </w:r>
      <w:r w:rsidR="009C07DE" w:rsidRPr="00663CAB">
        <w:rPr>
          <w:sz w:val="26"/>
          <w:szCs w:val="26"/>
          <w:lang w:eastAsia="pt-BR"/>
        </w:rPr>
        <w:t>se de impugnação ao Edital do Pregão n° 29</w:t>
      </w:r>
      <w:r w:rsidR="008F58D4" w:rsidRPr="00663CAB">
        <w:rPr>
          <w:sz w:val="26"/>
          <w:szCs w:val="26"/>
          <w:lang w:eastAsia="pt-BR"/>
        </w:rPr>
        <w:t xml:space="preserve">/2020, </w:t>
      </w:r>
      <w:r w:rsidR="00EB0575" w:rsidRPr="00663CAB">
        <w:rPr>
          <w:sz w:val="26"/>
          <w:szCs w:val="26"/>
          <w:lang w:eastAsia="pt-BR"/>
        </w:rPr>
        <w:t>apresentado pela</w:t>
      </w:r>
      <w:r w:rsidR="00420BF3" w:rsidRPr="00663CAB">
        <w:rPr>
          <w:sz w:val="26"/>
          <w:szCs w:val="26"/>
          <w:lang w:eastAsia="pt-BR"/>
        </w:rPr>
        <w:t xml:space="preserve"> empresa</w:t>
      </w:r>
      <w:r w:rsidR="009C07DE" w:rsidRPr="00663CAB">
        <w:rPr>
          <w:rFonts w:eastAsia="Times New Roman" w:cs="Arial"/>
          <w:sz w:val="26"/>
          <w:szCs w:val="26"/>
          <w:lang w:eastAsia="pt-BR"/>
        </w:rPr>
        <w:t xml:space="preserve"> PORTO SEGURO COMPANHIA DE SEGUROS GERAIS</w:t>
      </w:r>
      <w:r w:rsidR="00AF5AE4" w:rsidRPr="00663CAB">
        <w:rPr>
          <w:rFonts w:eastAsia="Times New Roman" w:cs="Arial"/>
          <w:sz w:val="26"/>
          <w:szCs w:val="26"/>
          <w:lang w:eastAsia="pt-BR"/>
        </w:rPr>
        <w:t xml:space="preserve">, CNPJ: </w:t>
      </w:r>
      <w:r w:rsidR="009C07DE" w:rsidRPr="00663CAB">
        <w:rPr>
          <w:rFonts w:eastAsia="Times New Roman" w:cs="Arial"/>
          <w:sz w:val="26"/>
          <w:szCs w:val="26"/>
          <w:lang w:eastAsia="pt-BR"/>
        </w:rPr>
        <w:t>61.198.164/0001-60</w:t>
      </w:r>
      <w:r w:rsidR="00C97F59" w:rsidRPr="00663CAB">
        <w:rPr>
          <w:sz w:val="26"/>
          <w:szCs w:val="26"/>
          <w:lang w:eastAsia="pt-BR"/>
        </w:rPr>
        <w:t xml:space="preserve">, referente </w:t>
      </w:r>
      <w:r w:rsidR="009C07DE" w:rsidRPr="00663CAB">
        <w:rPr>
          <w:sz w:val="26"/>
          <w:szCs w:val="26"/>
          <w:lang w:eastAsia="pt-BR"/>
        </w:rPr>
        <w:t>ao Anexo I, Descrição dos Itens: Danos Materiais e Corporais a Terceiros não Transportados: R$ 15.000,00.</w:t>
      </w:r>
      <w:r w:rsidR="00B45365" w:rsidRPr="00663CAB">
        <w:rPr>
          <w:sz w:val="26"/>
          <w:szCs w:val="26"/>
          <w:lang w:eastAsia="pt-BR"/>
        </w:rPr>
        <w:tab/>
      </w:r>
    </w:p>
    <w:p w14:paraId="76EA5000" w14:textId="77777777" w:rsidR="00B45365" w:rsidRPr="00663CAB" w:rsidRDefault="00074398" w:rsidP="0031758B">
      <w:pPr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tab/>
        <w:t>Primeiramente</w:t>
      </w:r>
      <w:r w:rsidR="00D17A78" w:rsidRPr="00663CAB">
        <w:rPr>
          <w:sz w:val="26"/>
          <w:szCs w:val="26"/>
          <w:lang w:eastAsia="pt-BR"/>
        </w:rPr>
        <w:t>, após considerações,</w:t>
      </w:r>
      <w:r w:rsidRPr="00663CAB">
        <w:rPr>
          <w:sz w:val="26"/>
          <w:szCs w:val="26"/>
          <w:lang w:eastAsia="pt-BR"/>
        </w:rPr>
        <w:t xml:space="preserve"> a empresa </w:t>
      </w:r>
      <w:r w:rsidR="00B45365" w:rsidRPr="00663CAB">
        <w:rPr>
          <w:sz w:val="26"/>
          <w:szCs w:val="26"/>
          <w:lang w:eastAsia="pt-BR"/>
        </w:rPr>
        <w:t xml:space="preserve">solicita a </w:t>
      </w:r>
      <w:r w:rsidR="00D17A78" w:rsidRPr="00663CAB">
        <w:rPr>
          <w:sz w:val="26"/>
          <w:szCs w:val="26"/>
          <w:lang w:eastAsia="pt-BR"/>
        </w:rPr>
        <w:t>retirada da cobertura solicitada alegando que “</w:t>
      </w:r>
      <w:r w:rsidR="00D17A78" w:rsidRPr="00663CAB">
        <w:rPr>
          <w:sz w:val="26"/>
          <w:szCs w:val="26"/>
        </w:rPr>
        <w:t>não restam dúvidas de que a cobertura prevista no Edital ora impugnado afronta de forma direta o princípio da competitividade, quando pretende a contratação de cobertura inexistent</w:t>
      </w:r>
      <w:r w:rsidR="00AB0366" w:rsidRPr="00663CAB">
        <w:rPr>
          <w:sz w:val="26"/>
          <w:szCs w:val="26"/>
        </w:rPr>
        <w:t>e no mercado de seguros do país”.</w:t>
      </w:r>
    </w:p>
    <w:p w14:paraId="160C1527" w14:textId="77777777" w:rsidR="00AB0366" w:rsidRPr="00663CAB" w:rsidRDefault="001F7752" w:rsidP="00AB0366">
      <w:pPr>
        <w:ind w:firstLine="708"/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t xml:space="preserve">A impugnante também </w:t>
      </w:r>
      <w:r w:rsidR="00AB0366" w:rsidRPr="00663CAB">
        <w:rPr>
          <w:sz w:val="26"/>
          <w:szCs w:val="26"/>
          <w:lang w:eastAsia="pt-BR"/>
        </w:rPr>
        <w:t>solicita que as cober</w:t>
      </w:r>
      <w:r w:rsidR="003B16FB" w:rsidRPr="00663CAB">
        <w:rPr>
          <w:sz w:val="26"/>
          <w:szCs w:val="26"/>
          <w:lang w:eastAsia="pt-BR"/>
        </w:rPr>
        <w:t xml:space="preserve">turas sejam separadas em lotes </w:t>
      </w:r>
      <w:r w:rsidRPr="00663CAB">
        <w:rPr>
          <w:sz w:val="26"/>
          <w:szCs w:val="26"/>
          <w:lang w:eastAsia="pt-BR"/>
        </w:rPr>
        <w:t>para o mesmo veículo: “</w:t>
      </w:r>
      <w:r w:rsidRPr="00663CAB">
        <w:rPr>
          <w:sz w:val="26"/>
          <w:szCs w:val="26"/>
        </w:rPr>
        <w:t xml:space="preserve">Ocorre que, em razão da distinção entre o seguro de veículos automotor e seguro RCO, corroborados pela prática de mercado, mostra-se claro, data vênia, que a alteração do certame, para permitir que sejam realizados julgamentos </w:t>
      </w:r>
      <w:r w:rsidRPr="00663CAB">
        <w:rPr>
          <w:b/>
          <w:bCs/>
          <w:sz w:val="26"/>
          <w:szCs w:val="26"/>
        </w:rPr>
        <w:t>por lote</w:t>
      </w:r>
      <w:r w:rsidRPr="00663CAB">
        <w:rPr>
          <w:sz w:val="26"/>
          <w:szCs w:val="26"/>
        </w:rPr>
        <w:t>, pois não só irá atender às prescrições legais, mas também porque fomentará o interesse e a competição e, por consequência, proporcionará a consecução de proposta mais vantajosa e de um resultado satisfatório aos fins visados pela licitação”.</w:t>
      </w:r>
    </w:p>
    <w:p w14:paraId="17FFF814" w14:textId="53DF03F2" w:rsidR="00350DFF" w:rsidRPr="00663CAB" w:rsidRDefault="001F7752" w:rsidP="00AB0366">
      <w:pPr>
        <w:ind w:firstLine="708"/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t>Em análise às solicitações realizadas</w:t>
      </w:r>
      <w:r w:rsidR="00634F55" w:rsidRPr="00663CAB">
        <w:rPr>
          <w:sz w:val="26"/>
          <w:szCs w:val="26"/>
          <w:lang w:eastAsia="pt-BR"/>
        </w:rPr>
        <w:t xml:space="preserve"> pela impugnante, não há como considerar que não existe esse tipo de cobertura no mercado, tendo em vista que foi a única seguradora que realizou esse tipo de questionamento até o momento. Além disso, j</w:t>
      </w:r>
      <w:r w:rsidR="0077057A" w:rsidRPr="00663CAB">
        <w:rPr>
          <w:sz w:val="26"/>
          <w:szCs w:val="26"/>
          <w:lang w:eastAsia="pt-BR"/>
        </w:rPr>
        <w:t xml:space="preserve">ustifica-se a necessidade dessa cobertura por ser um carro da </w:t>
      </w:r>
      <w:r w:rsidR="00803FB7" w:rsidRPr="00663CAB">
        <w:rPr>
          <w:sz w:val="26"/>
          <w:szCs w:val="26"/>
          <w:lang w:eastAsia="pt-BR"/>
        </w:rPr>
        <w:t>S</w:t>
      </w:r>
      <w:r w:rsidR="0077057A" w:rsidRPr="00663CAB">
        <w:rPr>
          <w:sz w:val="26"/>
          <w:szCs w:val="26"/>
          <w:lang w:eastAsia="pt-BR"/>
        </w:rPr>
        <w:t xml:space="preserve">ecretaria </w:t>
      </w:r>
      <w:r w:rsidR="00803FB7" w:rsidRPr="00663CAB">
        <w:rPr>
          <w:sz w:val="26"/>
          <w:szCs w:val="26"/>
          <w:lang w:eastAsia="pt-BR"/>
        </w:rPr>
        <w:t xml:space="preserve">Municipal </w:t>
      </w:r>
      <w:r w:rsidR="0077057A" w:rsidRPr="00663CAB">
        <w:rPr>
          <w:sz w:val="26"/>
          <w:szCs w:val="26"/>
          <w:lang w:eastAsia="pt-BR"/>
        </w:rPr>
        <w:t xml:space="preserve">de </w:t>
      </w:r>
      <w:r w:rsidR="00803FB7" w:rsidRPr="00663CAB">
        <w:rPr>
          <w:sz w:val="26"/>
          <w:szCs w:val="26"/>
          <w:lang w:eastAsia="pt-BR"/>
        </w:rPr>
        <w:t>S</w:t>
      </w:r>
      <w:r w:rsidR="0077057A" w:rsidRPr="00663CAB">
        <w:rPr>
          <w:sz w:val="26"/>
          <w:szCs w:val="26"/>
          <w:lang w:eastAsia="pt-BR"/>
        </w:rPr>
        <w:t xml:space="preserve">aúde, o que será utilizado para a condução de pacientes para consultas especializadas em diversos locais do </w:t>
      </w:r>
      <w:r w:rsidR="00803FB7" w:rsidRPr="00663CAB">
        <w:rPr>
          <w:sz w:val="26"/>
          <w:szCs w:val="26"/>
          <w:lang w:eastAsia="pt-BR"/>
        </w:rPr>
        <w:t>E</w:t>
      </w:r>
      <w:r w:rsidR="0077057A" w:rsidRPr="00663CAB">
        <w:rPr>
          <w:sz w:val="26"/>
          <w:szCs w:val="26"/>
          <w:lang w:eastAsia="pt-BR"/>
        </w:rPr>
        <w:t>stado e também fora desse</w:t>
      </w:r>
      <w:r w:rsidR="00803FB7" w:rsidRPr="00663CAB">
        <w:rPr>
          <w:sz w:val="26"/>
          <w:szCs w:val="26"/>
          <w:lang w:eastAsia="pt-BR"/>
        </w:rPr>
        <w:t>,</w:t>
      </w:r>
      <w:r w:rsidR="00663CAB" w:rsidRPr="00663CAB">
        <w:rPr>
          <w:sz w:val="26"/>
          <w:szCs w:val="26"/>
          <w:lang w:eastAsia="pt-BR"/>
        </w:rPr>
        <w:t xml:space="preserve"> se for necessário, corroborado pelo documento recebido da Secretaria Municipal de Saúde. Portanto, resta</w:t>
      </w:r>
      <w:r w:rsidR="00350DFF" w:rsidRPr="00663CAB">
        <w:rPr>
          <w:sz w:val="26"/>
          <w:szCs w:val="26"/>
          <w:lang w:eastAsia="pt-BR"/>
        </w:rPr>
        <w:t xml:space="preserve"> necessária a garantia prevista no</w:t>
      </w:r>
      <w:r w:rsidR="00663CAB" w:rsidRPr="00663CAB">
        <w:rPr>
          <w:sz w:val="26"/>
          <w:szCs w:val="26"/>
          <w:lang w:eastAsia="pt-BR"/>
        </w:rPr>
        <w:t xml:space="preserve"> Edital, sendo a mínima exigida.</w:t>
      </w:r>
    </w:p>
    <w:p w14:paraId="1639D65C" w14:textId="458C0C94" w:rsidR="002A24DE" w:rsidRPr="00663CAB" w:rsidRDefault="0077057A" w:rsidP="00634F55">
      <w:pPr>
        <w:ind w:firstLine="708"/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t>Quanto a solicitação de fazer um seguro por lotes, se tratando do mesmo veículo, não vimos fundamentação</w:t>
      </w:r>
      <w:r w:rsidR="00634F55" w:rsidRPr="00663CAB">
        <w:rPr>
          <w:sz w:val="26"/>
          <w:szCs w:val="26"/>
          <w:lang w:eastAsia="pt-BR"/>
        </w:rPr>
        <w:t xml:space="preserve"> pertinente</w:t>
      </w:r>
      <w:r w:rsidRPr="00663CAB">
        <w:rPr>
          <w:sz w:val="26"/>
          <w:szCs w:val="26"/>
          <w:lang w:eastAsia="pt-BR"/>
        </w:rPr>
        <w:t xml:space="preserve">, tendo em vista que existirão tantas franquias quanto quantidade de lotes, ou seja, no momento em que o </w:t>
      </w:r>
      <w:r w:rsidR="00634F55" w:rsidRPr="00663CAB">
        <w:rPr>
          <w:sz w:val="26"/>
          <w:szCs w:val="26"/>
          <w:lang w:eastAsia="pt-BR"/>
        </w:rPr>
        <w:t>Município</w:t>
      </w:r>
      <w:r w:rsidRPr="00663CAB">
        <w:rPr>
          <w:sz w:val="26"/>
          <w:szCs w:val="26"/>
          <w:lang w:eastAsia="pt-BR"/>
        </w:rPr>
        <w:t xml:space="preserve"> unifica em apenas uma fr</w:t>
      </w:r>
      <w:r w:rsidR="00634F55" w:rsidRPr="00663CAB">
        <w:rPr>
          <w:sz w:val="26"/>
          <w:szCs w:val="26"/>
          <w:lang w:eastAsia="pt-BR"/>
        </w:rPr>
        <w:t>anquia significa economicidade.</w:t>
      </w:r>
    </w:p>
    <w:p w14:paraId="0096115C" w14:textId="77777777" w:rsidR="00663CAB" w:rsidRPr="00663CAB" w:rsidRDefault="00803FB7" w:rsidP="00634F55">
      <w:pPr>
        <w:ind w:firstLine="708"/>
        <w:rPr>
          <w:sz w:val="26"/>
          <w:szCs w:val="26"/>
          <w:lang w:eastAsia="pt-BR"/>
        </w:rPr>
      </w:pPr>
      <w:r w:rsidRPr="00663CAB">
        <w:rPr>
          <w:sz w:val="26"/>
          <w:szCs w:val="26"/>
          <w:lang w:eastAsia="pt-BR"/>
        </w:rPr>
        <w:lastRenderedPageBreak/>
        <w:t>Destaca-se, ainda, que o Edital encontra-se subordinado às legislações que</w:t>
      </w:r>
      <w:r w:rsidR="00663CAB" w:rsidRPr="00663CAB">
        <w:rPr>
          <w:sz w:val="26"/>
          <w:szCs w:val="26"/>
          <w:lang w:eastAsia="pt-BR"/>
        </w:rPr>
        <w:t xml:space="preserve"> regem a Licitação, não fugindo</w:t>
      </w:r>
      <w:r w:rsidRPr="00663CAB">
        <w:rPr>
          <w:sz w:val="26"/>
          <w:szCs w:val="26"/>
          <w:lang w:eastAsia="pt-BR"/>
        </w:rPr>
        <w:t xml:space="preserve"> de maneira alguma das leis pertinentes, inclusive do que está d</w:t>
      </w:r>
      <w:r w:rsidR="00663CAB" w:rsidRPr="00663CAB">
        <w:rPr>
          <w:sz w:val="26"/>
          <w:szCs w:val="26"/>
          <w:lang w:eastAsia="pt-BR"/>
        </w:rPr>
        <w:t>isposto na Constituição Federal.</w:t>
      </w:r>
    </w:p>
    <w:p w14:paraId="28CB74D7" w14:textId="508467C5" w:rsidR="00803FB7" w:rsidRPr="00663CAB" w:rsidRDefault="008A0919" w:rsidP="00634F55">
      <w:pPr>
        <w:ind w:firstLine="708"/>
        <w:rPr>
          <w:sz w:val="26"/>
          <w:szCs w:val="26"/>
          <w:lang w:eastAsia="pt-BR"/>
        </w:rPr>
      </w:pPr>
      <w:r>
        <w:rPr>
          <w:rFonts w:cs="Arial"/>
          <w:color w:val="000000"/>
          <w:sz w:val="26"/>
          <w:szCs w:val="26"/>
          <w:shd w:val="clear" w:color="auto" w:fill="FFFFFF"/>
        </w:rPr>
        <w:t xml:space="preserve">Desta forma, </w:t>
      </w:r>
      <w:r w:rsidR="00663CAB">
        <w:rPr>
          <w:rFonts w:cs="Arial"/>
          <w:color w:val="000000"/>
          <w:sz w:val="26"/>
          <w:szCs w:val="26"/>
          <w:shd w:val="clear" w:color="auto" w:fill="FFFFFF"/>
        </w:rPr>
        <w:t>e considerando o que já foi exposto</w:t>
      </w:r>
      <w:r>
        <w:rPr>
          <w:rFonts w:cs="Arial"/>
          <w:color w:val="000000"/>
          <w:sz w:val="26"/>
          <w:szCs w:val="26"/>
          <w:shd w:val="clear" w:color="auto" w:fill="FFFFFF"/>
        </w:rPr>
        <w:t xml:space="preserve"> acima, informamos que a </w:t>
      </w:r>
      <w:bookmarkStart w:id="0" w:name="_GoBack"/>
      <w:bookmarkEnd w:id="0"/>
      <w:r w:rsidR="00663CAB" w:rsidRPr="00663CAB">
        <w:rPr>
          <w:rFonts w:cs="Arial"/>
          <w:color w:val="000000"/>
          <w:sz w:val="26"/>
          <w:szCs w:val="26"/>
          <w:shd w:val="clear" w:color="auto" w:fill="FFFFFF"/>
        </w:rPr>
        <w:t xml:space="preserve">referida </w:t>
      </w:r>
      <w:r w:rsidR="00327F02" w:rsidRPr="00663CAB">
        <w:rPr>
          <w:sz w:val="26"/>
          <w:szCs w:val="26"/>
          <w:lang w:eastAsia="pt-BR"/>
        </w:rPr>
        <w:t>impugnação não será acatada.</w:t>
      </w:r>
    </w:p>
    <w:p w14:paraId="249DAC2F" w14:textId="77777777" w:rsidR="008A0919" w:rsidRDefault="008A0919" w:rsidP="00BB5FC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33F64BB5" w14:textId="77777777" w:rsidR="00FA733F" w:rsidRPr="00663CAB" w:rsidRDefault="00FA733F" w:rsidP="00BB5FC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Arial"/>
          <w:sz w:val="26"/>
          <w:szCs w:val="26"/>
          <w:lang w:eastAsia="pt-BR"/>
        </w:rPr>
      </w:pPr>
      <w:r w:rsidRPr="00663CAB">
        <w:rPr>
          <w:rFonts w:eastAsia="Times New Roman" w:cs="Arial"/>
          <w:sz w:val="26"/>
          <w:szCs w:val="26"/>
          <w:lang w:eastAsia="pt-BR"/>
        </w:rPr>
        <w:t xml:space="preserve">Jóia – RS, </w:t>
      </w:r>
      <w:r w:rsidR="00634F55" w:rsidRPr="00663CAB">
        <w:rPr>
          <w:rFonts w:eastAsia="Times New Roman" w:cs="Arial"/>
          <w:sz w:val="26"/>
          <w:szCs w:val="26"/>
          <w:lang w:eastAsia="pt-BR"/>
        </w:rPr>
        <w:t>02</w:t>
      </w:r>
      <w:r w:rsidR="00F32E0E" w:rsidRPr="00663CAB">
        <w:rPr>
          <w:rFonts w:eastAsia="Times New Roman" w:cs="Arial"/>
          <w:sz w:val="26"/>
          <w:szCs w:val="26"/>
          <w:lang w:eastAsia="pt-BR"/>
        </w:rPr>
        <w:t xml:space="preserve"> de </w:t>
      </w:r>
      <w:r w:rsidR="00634F55" w:rsidRPr="00663CAB">
        <w:rPr>
          <w:rFonts w:eastAsia="Times New Roman" w:cs="Arial"/>
          <w:sz w:val="26"/>
          <w:szCs w:val="26"/>
          <w:lang w:eastAsia="pt-BR"/>
        </w:rPr>
        <w:t>dezembro</w:t>
      </w:r>
      <w:r w:rsidR="009A3445" w:rsidRPr="00663CAB">
        <w:rPr>
          <w:rFonts w:eastAsia="Times New Roman" w:cs="Arial"/>
          <w:sz w:val="26"/>
          <w:szCs w:val="26"/>
          <w:lang w:eastAsia="pt-BR"/>
        </w:rPr>
        <w:t xml:space="preserve"> de 2020</w:t>
      </w:r>
      <w:r w:rsidRPr="00663CAB">
        <w:rPr>
          <w:rFonts w:eastAsia="Times New Roman" w:cs="Arial"/>
          <w:sz w:val="26"/>
          <w:szCs w:val="26"/>
          <w:lang w:eastAsia="pt-BR"/>
        </w:rPr>
        <w:t>.</w:t>
      </w:r>
    </w:p>
    <w:p w14:paraId="0AC33C58" w14:textId="77777777" w:rsidR="00FA733F" w:rsidRPr="00663CAB" w:rsidRDefault="00FA733F" w:rsidP="00FA733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7EEEAA6C" w14:textId="77777777" w:rsidR="00B45365" w:rsidRPr="00663CAB" w:rsidRDefault="00B45365" w:rsidP="00FA733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250CE2C1" w14:textId="77777777" w:rsidR="00C90015" w:rsidRPr="00663CAB" w:rsidRDefault="00C90015" w:rsidP="00FA733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Arial"/>
          <w:sz w:val="26"/>
          <w:szCs w:val="26"/>
          <w:lang w:eastAsia="pt-BR"/>
        </w:rPr>
      </w:pPr>
    </w:p>
    <w:p w14:paraId="7A63C0C7" w14:textId="77777777" w:rsidR="00FA733F" w:rsidRPr="00663CAB" w:rsidRDefault="00FA733F" w:rsidP="00FA733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 w:cs="Arial"/>
          <w:sz w:val="26"/>
          <w:szCs w:val="26"/>
          <w:lang w:eastAsia="pt-BR"/>
        </w:rPr>
      </w:pPr>
      <w:r w:rsidRPr="00663CAB">
        <w:rPr>
          <w:rFonts w:eastAsia="Times New Roman" w:cs="Arial"/>
          <w:sz w:val="26"/>
          <w:szCs w:val="26"/>
          <w:lang w:eastAsia="pt-BR"/>
        </w:rPr>
        <w:t>ADRIANO MARANGON DE LIMA</w:t>
      </w:r>
    </w:p>
    <w:p w14:paraId="5FE79B1C" w14:textId="77777777" w:rsidR="00BF3562" w:rsidRPr="00663CAB" w:rsidRDefault="00FA733F" w:rsidP="00C9001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sz w:val="26"/>
          <w:szCs w:val="26"/>
        </w:rPr>
      </w:pPr>
      <w:r w:rsidRPr="00663CAB">
        <w:rPr>
          <w:rFonts w:eastAsia="Times New Roman" w:cs="Arial"/>
          <w:sz w:val="26"/>
          <w:szCs w:val="26"/>
          <w:lang w:eastAsia="pt-BR"/>
        </w:rPr>
        <w:t xml:space="preserve">Prefeito Municipal </w:t>
      </w:r>
    </w:p>
    <w:sectPr w:rsidR="00BF3562" w:rsidRPr="00663CAB" w:rsidSect="00EF4C05">
      <w:headerReference w:type="default" r:id="rId6"/>
      <w:foot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7F72E" w14:textId="77777777" w:rsidR="009E35EB" w:rsidRDefault="009E35EB">
      <w:pPr>
        <w:spacing w:line="240" w:lineRule="auto"/>
      </w:pPr>
      <w:r>
        <w:separator/>
      </w:r>
    </w:p>
  </w:endnote>
  <w:endnote w:type="continuationSeparator" w:id="0">
    <w:p w14:paraId="095A5A23" w14:textId="77777777" w:rsidR="009E35EB" w:rsidRDefault="009E3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49685" w14:textId="77777777" w:rsidR="00EF4C05" w:rsidRDefault="008A0919" w:rsidP="00EF4C05">
    <w:pPr>
      <w:pStyle w:val="Rodap"/>
      <w:pBdr>
        <w:bottom w:val="single" w:sz="12" w:space="2" w:color="auto"/>
      </w:pBdr>
    </w:pPr>
  </w:p>
  <w:p w14:paraId="4A8F22A4" w14:textId="77777777" w:rsidR="00EF4C05" w:rsidRPr="006F7C99" w:rsidRDefault="00FA733F" w:rsidP="00EF4C05">
    <w:pPr>
      <w:pStyle w:val="Rodap"/>
      <w:spacing w:before="120"/>
      <w:rPr>
        <w:rFonts w:cs="Arial"/>
        <w:sz w:val="20"/>
      </w:rPr>
    </w:pPr>
    <w:r w:rsidRPr="006F7C99">
      <w:rPr>
        <w:rFonts w:cs="Arial"/>
        <w:sz w:val="20"/>
      </w:rPr>
      <w:t xml:space="preserve">Endereço: Rua Brasilina Terra, 101 - CEP: 98180-000 - Fone: (55)3318-1300                Página </w:t>
    </w:r>
    <w:r w:rsidRPr="006F7C99">
      <w:rPr>
        <w:rFonts w:cs="Arial"/>
        <w:b/>
        <w:bCs/>
        <w:sz w:val="20"/>
      </w:rPr>
      <w:fldChar w:fldCharType="begin"/>
    </w:r>
    <w:r w:rsidRPr="006F7C99">
      <w:rPr>
        <w:rFonts w:cs="Arial"/>
        <w:b/>
        <w:bCs/>
        <w:sz w:val="20"/>
      </w:rPr>
      <w:instrText>PAGE</w:instrText>
    </w:r>
    <w:r w:rsidRPr="006F7C99">
      <w:rPr>
        <w:rFonts w:cs="Arial"/>
        <w:b/>
        <w:bCs/>
        <w:sz w:val="20"/>
      </w:rPr>
      <w:fldChar w:fldCharType="separate"/>
    </w:r>
    <w:r w:rsidR="008A0919">
      <w:rPr>
        <w:rFonts w:cs="Arial"/>
        <w:b/>
        <w:bCs/>
        <w:noProof/>
        <w:sz w:val="20"/>
      </w:rPr>
      <w:t>1</w:t>
    </w:r>
    <w:r w:rsidRPr="006F7C99">
      <w:rPr>
        <w:rFonts w:cs="Arial"/>
        <w:b/>
        <w:bCs/>
        <w:sz w:val="20"/>
      </w:rPr>
      <w:fldChar w:fldCharType="end"/>
    </w:r>
    <w:r w:rsidRPr="006F7C99">
      <w:rPr>
        <w:rFonts w:cs="Arial"/>
        <w:sz w:val="20"/>
      </w:rPr>
      <w:t xml:space="preserve"> de </w:t>
    </w:r>
    <w:r w:rsidRPr="006F7C99">
      <w:rPr>
        <w:rFonts w:cs="Arial"/>
        <w:b/>
        <w:bCs/>
        <w:sz w:val="20"/>
      </w:rPr>
      <w:fldChar w:fldCharType="begin"/>
    </w:r>
    <w:r w:rsidRPr="006F7C99">
      <w:rPr>
        <w:rFonts w:cs="Arial"/>
        <w:b/>
        <w:bCs/>
        <w:sz w:val="20"/>
      </w:rPr>
      <w:instrText>NUMPAGES</w:instrText>
    </w:r>
    <w:r w:rsidRPr="006F7C99">
      <w:rPr>
        <w:rFonts w:cs="Arial"/>
        <w:b/>
        <w:bCs/>
        <w:sz w:val="20"/>
      </w:rPr>
      <w:fldChar w:fldCharType="separate"/>
    </w:r>
    <w:r w:rsidR="008A0919">
      <w:rPr>
        <w:rFonts w:cs="Arial"/>
        <w:b/>
        <w:bCs/>
        <w:noProof/>
        <w:sz w:val="20"/>
      </w:rPr>
      <w:t>2</w:t>
    </w:r>
    <w:r w:rsidRPr="006F7C99">
      <w:rPr>
        <w:rFonts w:cs="Arial"/>
        <w:b/>
        <w:bCs/>
        <w:sz w:val="20"/>
      </w:rPr>
      <w:fldChar w:fldCharType="end"/>
    </w:r>
  </w:p>
  <w:p w14:paraId="7030BB80" w14:textId="77777777" w:rsidR="00EF4C05" w:rsidRDefault="008A09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4AA2C" w14:textId="77777777" w:rsidR="009E35EB" w:rsidRDefault="009E35EB">
      <w:pPr>
        <w:spacing w:line="240" w:lineRule="auto"/>
      </w:pPr>
      <w:r>
        <w:separator/>
      </w:r>
    </w:p>
  </w:footnote>
  <w:footnote w:type="continuationSeparator" w:id="0">
    <w:p w14:paraId="0DCCF86B" w14:textId="77777777" w:rsidR="009E35EB" w:rsidRDefault="009E3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8822"/>
    </w:tblGrid>
    <w:tr w:rsidR="00EF4C05" w:rsidRPr="00752009" w14:paraId="2431FD41" w14:textId="77777777" w:rsidTr="000C730E">
      <w:tc>
        <w:tcPr>
          <w:tcW w:w="138" w:type="pct"/>
          <w:tcBorders>
            <w:bottom w:val="single" w:sz="12" w:space="0" w:color="000000"/>
          </w:tcBorders>
          <w:shd w:val="clear" w:color="auto" w:fill="auto"/>
        </w:tcPr>
        <w:p w14:paraId="07BE2DF1" w14:textId="77777777" w:rsidR="00EF4C05" w:rsidRPr="00752009" w:rsidRDefault="008A0919" w:rsidP="00EF4C05">
          <w:pPr>
            <w:pStyle w:val="Cabealho"/>
            <w:jc w:val="right"/>
            <w:rPr>
              <w:b/>
              <w:bCs/>
              <w:color w:val="FFFFFF"/>
            </w:rPr>
          </w:pPr>
        </w:p>
      </w:tc>
      <w:tc>
        <w:tcPr>
          <w:tcW w:w="4862" w:type="pct"/>
          <w:tcBorders>
            <w:bottom w:val="single" w:sz="12" w:space="0" w:color="000000"/>
          </w:tcBorders>
          <w:shd w:val="clear" w:color="auto" w:fill="auto"/>
        </w:tcPr>
        <w:p w14:paraId="25F522AF" w14:textId="77777777" w:rsidR="00EF4C05" w:rsidRPr="00752009" w:rsidRDefault="00FA733F" w:rsidP="003A759B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BAC851" wp14:editId="53A3D046">
                <wp:simplePos x="0" y="0"/>
                <wp:positionH relativeFrom="column">
                  <wp:posOffset>71755</wp:posOffset>
                </wp:positionH>
                <wp:positionV relativeFrom="paragraph">
                  <wp:posOffset>-49530</wp:posOffset>
                </wp:positionV>
                <wp:extent cx="549275" cy="610235"/>
                <wp:effectExtent l="19050" t="19050" r="22225" b="184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52009">
            <w:rPr>
              <w:rFonts w:cs="Arial"/>
              <w:b/>
              <w:bCs/>
              <w:caps/>
              <w:color w:val="000000"/>
              <w:sz w:val="16"/>
            </w:rPr>
            <w:t>Estado do Rio Grande do Sul</w:t>
          </w:r>
        </w:p>
        <w:p w14:paraId="48406CE3" w14:textId="77777777" w:rsidR="00EF4C05" w:rsidRPr="00752009" w:rsidRDefault="00FA733F" w:rsidP="003A759B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14:paraId="6A9E2E15" w14:textId="77777777" w:rsidR="00EF4C05" w:rsidRPr="00752009" w:rsidRDefault="00FA733F" w:rsidP="003A759B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10"/>
              <w:szCs w:val="10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14:paraId="515AD1DD" w14:textId="77777777" w:rsidR="00EF4C05" w:rsidRPr="00752009" w:rsidRDefault="00FA733F" w:rsidP="003A759B">
          <w:pPr>
            <w:spacing w:line="276" w:lineRule="auto"/>
            <w:jc w:val="center"/>
            <w:rPr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SECRETARIA MUNICIPAL DE ADMINISTRAÇÃO</w:t>
          </w:r>
        </w:p>
      </w:tc>
    </w:tr>
  </w:tbl>
  <w:p w14:paraId="2CCD64A8" w14:textId="77777777" w:rsidR="00EF4C05" w:rsidRDefault="008A09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3F"/>
    <w:rsid w:val="00022926"/>
    <w:rsid w:val="00031B3C"/>
    <w:rsid w:val="000333B9"/>
    <w:rsid w:val="00074398"/>
    <w:rsid w:val="000A5DE1"/>
    <w:rsid w:val="000C7E37"/>
    <w:rsid w:val="001160D1"/>
    <w:rsid w:val="001F05D4"/>
    <w:rsid w:val="001F7752"/>
    <w:rsid w:val="00214E04"/>
    <w:rsid w:val="002462F0"/>
    <w:rsid w:val="002A24DE"/>
    <w:rsid w:val="0031758B"/>
    <w:rsid w:val="003254DD"/>
    <w:rsid w:val="00327F02"/>
    <w:rsid w:val="00350DFF"/>
    <w:rsid w:val="003B16FB"/>
    <w:rsid w:val="00420BF3"/>
    <w:rsid w:val="00426D54"/>
    <w:rsid w:val="00496AFD"/>
    <w:rsid w:val="00511814"/>
    <w:rsid w:val="00523B5E"/>
    <w:rsid w:val="00550F3A"/>
    <w:rsid w:val="005C74AD"/>
    <w:rsid w:val="005F3329"/>
    <w:rsid w:val="00634F55"/>
    <w:rsid w:val="00663CAB"/>
    <w:rsid w:val="00676683"/>
    <w:rsid w:val="006A31EA"/>
    <w:rsid w:val="006C7CEA"/>
    <w:rsid w:val="006D0FB5"/>
    <w:rsid w:val="006F0850"/>
    <w:rsid w:val="006F7C99"/>
    <w:rsid w:val="00704440"/>
    <w:rsid w:val="00736CFD"/>
    <w:rsid w:val="0077057A"/>
    <w:rsid w:val="007A204B"/>
    <w:rsid w:val="00803FB7"/>
    <w:rsid w:val="008A0919"/>
    <w:rsid w:val="008B5EC0"/>
    <w:rsid w:val="008F58D4"/>
    <w:rsid w:val="009A3445"/>
    <w:rsid w:val="009C07DE"/>
    <w:rsid w:val="009E35EB"/>
    <w:rsid w:val="00A62AE2"/>
    <w:rsid w:val="00A76D9A"/>
    <w:rsid w:val="00AB0366"/>
    <w:rsid w:val="00AE1EF4"/>
    <w:rsid w:val="00AF5AE4"/>
    <w:rsid w:val="00B45365"/>
    <w:rsid w:val="00B66F1B"/>
    <w:rsid w:val="00B85613"/>
    <w:rsid w:val="00BB5FCE"/>
    <w:rsid w:val="00BD533C"/>
    <w:rsid w:val="00BF3562"/>
    <w:rsid w:val="00C22510"/>
    <w:rsid w:val="00C90015"/>
    <w:rsid w:val="00C96A89"/>
    <w:rsid w:val="00C97F59"/>
    <w:rsid w:val="00D17A78"/>
    <w:rsid w:val="00E82611"/>
    <w:rsid w:val="00E94621"/>
    <w:rsid w:val="00EB0575"/>
    <w:rsid w:val="00EF30A3"/>
    <w:rsid w:val="00F216E2"/>
    <w:rsid w:val="00F32E0E"/>
    <w:rsid w:val="00F404BC"/>
    <w:rsid w:val="00F5408F"/>
    <w:rsid w:val="00FA733F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D060"/>
  <w15:chartTrackingRefBased/>
  <w15:docId w15:val="{52C6DC64-BB71-4DA1-8DCB-2750D716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8B"/>
    <w:pPr>
      <w:spacing w:after="0" w:line="360" w:lineRule="auto"/>
      <w:jc w:val="both"/>
    </w:pPr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733F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73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A733F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73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96A89"/>
    <w:pPr>
      <w:spacing w:line="240" w:lineRule="auto"/>
      <w:ind w:firstLine="360"/>
    </w:pPr>
    <w:rPr>
      <w:rFonts w:eastAsia="Times New Roman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96A8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1758B"/>
    <w:pPr>
      <w:spacing w:line="240" w:lineRule="auto"/>
      <w:ind w:left="2268"/>
    </w:pPr>
    <w:rPr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31758B"/>
    <w:rPr>
      <w:rFonts w:ascii="Arial" w:hAnsi="Arial" w:cs="Times New Roman"/>
      <w:i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D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2020-12-08T13:28:00Z</cp:lastPrinted>
  <dcterms:created xsi:type="dcterms:W3CDTF">2020-12-08T13:40:00Z</dcterms:created>
  <dcterms:modified xsi:type="dcterms:W3CDTF">2020-12-14T11:39:00Z</dcterms:modified>
</cp:coreProperties>
</file>